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CD" w:rsidRPr="00D330F8" w:rsidRDefault="003E69CD">
      <w:pPr>
        <w:pStyle w:val="NWAC"/>
        <w:outlineLvl w:val="0"/>
      </w:pPr>
      <w:r w:rsidRPr="00D330F8">
        <w:t xml:space="preserve">Зарегистрировано в Минюсте России 9 сентября </w:t>
      </w:r>
      <w:smartTag w:uri="urn:schemas-microsoft-com:office:smarttags" w:element="metricconverter">
        <w:smartTagPr>
          <w:attr w:name="ProductID" w:val="2019 г"/>
        </w:smartTagPr>
        <w:r w:rsidRPr="00D330F8">
          <w:t>2019 г</w:t>
        </w:r>
      </w:smartTag>
      <w:r w:rsidRPr="00D330F8">
        <w:t>. N 55855</w:t>
      </w:r>
    </w:p>
    <w:p w:rsidR="003E69CD" w:rsidRPr="00D330F8" w:rsidRDefault="003E69CD">
      <w:pPr>
        <w:pStyle w:val="NWAC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 w:rsidP="00D330F8">
      <w:pPr>
        <w:pStyle w:val="NWAC0"/>
      </w:pPr>
      <w:r w:rsidRPr="00D330F8">
        <w:t>МИНИСТЕРСТВО ТРАНСПОРТА РОССИЙСКОЙ ФЕДЕРАЦИИ</w:t>
      </w:r>
    </w:p>
    <w:p w:rsidR="003E69CD" w:rsidRPr="00D330F8" w:rsidRDefault="003E69CD" w:rsidP="00D330F8">
      <w:pPr>
        <w:pStyle w:val="NWAC0"/>
      </w:pPr>
    </w:p>
    <w:p w:rsidR="003E69CD" w:rsidRPr="00D330F8" w:rsidRDefault="003E69CD" w:rsidP="00D330F8">
      <w:pPr>
        <w:pStyle w:val="NWAC0"/>
      </w:pPr>
      <w:r w:rsidRPr="00D330F8">
        <w:t>ПРИКАЗ</w:t>
      </w:r>
    </w:p>
    <w:p w:rsidR="003E69CD" w:rsidRPr="00D330F8" w:rsidRDefault="003E69CD" w:rsidP="00D330F8">
      <w:pPr>
        <w:pStyle w:val="NWAC0"/>
      </w:pPr>
      <w:r w:rsidRPr="00D330F8">
        <w:t xml:space="preserve">от 17 июня </w:t>
      </w:r>
      <w:smartTag w:uri="urn:schemas-microsoft-com:office:smarttags" w:element="metricconverter">
        <w:smartTagPr>
          <w:attr w:name="ProductID" w:val="2019 г"/>
        </w:smartTagPr>
        <w:r w:rsidRPr="00D330F8">
          <w:t>2019 г</w:t>
        </w:r>
      </w:smartTag>
      <w:r w:rsidRPr="00D330F8">
        <w:t>. N 187</w:t>
      </w:r>
    </w:p>
    <w:p w:rsidR="003E69CD" w:rsidRPr="00D330F8" w:rsidRDefault="003E69CD" w:rsidP="00D330F8">
      <w:pPr>
        <w:pStyle w:val="NWAC0"/>
      </w:pPr>
    </w:p>
    <w:p w:rsidR="003E69CD" w:rsidRPr="00D330F8" w:rsidRDefault="003E69CD" w:rsidP="00D330F8">
      <w:pPr>
        <w:pStyle w:val="NWAC0"/>
      </w:pPr>
      <w:r w:rsidRPr="00D330F8">
        <w:t>ОБ УТВЕРЖДЕНИИ ПРАВИЛ</w:t>
      </w:r>
    </w:p>
    <w:p w:rsidR="003E69CD" w:rsidRPr="00D330F8" w:rsidRDefault="003E69CD" w:rsidP="00D330F8">
      <w:pPr>
        <w:pStyle w:val="NWAC0"/>
      </w:pPr>
      <w:r w:rsidRPr="00D330F8">
        <w:t>ДВИЖЕНИЯ И СТОЯНКИ СУДОВ В АЗОВО-ДОНСКОМ БАССЕЙНЕ</w:t>
      </w:r>
    </w:p>
    <w:p w:rsidR="003E69CD" w:rsidRPr="00D330F8" w:rsidRDefault="003E69CD" w:rsidP="00D330F8">
      <w:pPr>
        <w:pStyle w:val="NWAC0"/>
      </w:pPr>
      <w:r w:rsidRPr="00D330F8">
        <w:t>ВНУТРЕННИХ ВОДНЫХ ПУТЕЙ РОССИЙСКОЙ ФЕДЕРАЦИИ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ind w:firstLine="540"/>
        <w:jc w:val="both"/>
      </w:pPr>
      <w:r w:rsidRPr="00D330F8">
        <w:t>В соответствии с пунктом 3 статьи 34 Кодекса внутреннего водного транспорта Российской Федерации (Собрание законодательства Российской Федерации, 2001, N 11, ст. 1001; 2003, N 14, ст. 1256, N 27, ст. 2700; 2004, N 27, ст. 2711; 2006, N 50, ст. 5279, N 52, ст. 5498; 2007, N 27, ст. 3213, N 46, ст. 5554, 5557, N 50, ст. 6246; 2008, N 29, ст. 3418, N 30, ст. 3616; 2009, N 1, ст. 30, N 18, ст. 2141, N 29, ст. 3625, N 52, ст. 6450; 2011, N 15, ст. 2020, N 27, ст. 3880, N 29, ст. 4294, N 30, ст. 4577, 4590, 4591, 4594, 4596, N 45, ст. 6333, 6335; 2012, N 18, ст. 2128, N 25, ст. 3268, N 26, ст. 3446, N 31, ст. 4320; 2013, N 27, ст. 3477; 2014, N 6, ст. 566, N 42, ст. 5615, N 45, ст. 6153, N 49, ст. 6928; 2015, N 1, ст. 55, N 29, ст. 4356, 4359; 2016, N 11, ст. 1478, N 27, ст. 4300; 2017, N 27, ст. 3945, N 52, ст. 7923; 2018, N 1, ст. 34) приказываю: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Утвердить прилагаемые Правила движения и стоянки судов в Азово-Донском бассейне внутренних водных путей Российской Федерации.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right"/>
      </w:pPr>
      <w:r w:rsidRPr="00D330F8">
        <w:t>Министр</w:t>
      </w:r>
    </w:p>
    <w:p w:rsidR="003E69CD" w:rsidRPr="00D330F8" w:rsidRDefault="003E69CD">
      <w:pPr>
        <w:pStyle w:val="NWAC"/>
        <w:jc w:val="right"/>
      </w:pPr>
      <w:r w:rsidRPr="00D330F8">
        <w:t>Е.И.ДИТРИХ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right"/>
        <w:outlineLvl w:val="0"/>
      </w:pPr>
      <w:r w:rsidRPr="00D330F8">
        <w:t>Утверждены</w:t>
      </w:r>
    </w:p>
    <w:p w:rsidR="003E69CD" w:rsidRPr="00D330F8" w:rsidRDefault="003E69CD">
      <w:pPr>
        <w:pStyle w:val="NWAC"/>
        <w:jc w:val="right"/>
      </w:pPr>
      <w:r w:rsidRPr="00D330F8">
        <w:t>приказом Минтранса России</w:t>
      </w:r>
    </w:p>
    <w:p w:rsidR="003E69CD" w:rsidRPr="00D330F8" w:rsidRDefault="003E69CD">
      <w:pPr>
        <w:pStyle w:val="NWAC"/>
        <w:jc w:val="right"/>
      </w:pPr>
      <w:r w:rsidRPr="00D330F8">
        <w:t xml:space="preserve">от 17 июня </w:t>
      </w:r>
      <w:smartTag w:uri="urn:schemas-microsoft-com:office:smarttags" w:element="metricconverter">
        <w:smartTagPr>
          <w:attr w:name="ProductID" w:val="2019 г"/>
        </w:smartTagPr>
        <w:r w:rsidRPr="00D330F8">
          <w:t>2019 г</w:t>
        </w:r>
      </w:smartTag>
      <w:r w:rsidRPr="00D330F8">
        <w:t>. N 187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 w:rsidP="00D330F8">
      <w:pPr>
        <w:pStyle w:val="NWAC0"/>
      </w:pPr>
      <w:bookmarkStart w:id="0" w:name="P27"/>
      <w:bookmarkEnd w:id="0"/>
      <w:r w:rsidRPr="00D330F8">
        <w:t>ПРАВИЛА</w:t>
      </w:r>
    </w:p>
    <w:p w:rsidR="003E69CD" w:rsidRPr="00D330F8" w:rsidRDefault="003E69CD" w:rsidP="00D330F8">
      <w:pPr>
        <w:pStyle w:val="NWAC0"/>
      </w:pPr>
      <w:r w:rsidRPr="00D330F8">
        <w:t>ДВИЖЕНИЯ И СТОЯНКИ СУДОВ В АЗОВО-ДОНСКОМ БАССЕЙНЕ</w:t>
      </w:r>
    </w:p>
    <w:p w:rsidR="003E69CD" w:rsidRPr="00D330F8" w:rsidRDefault="003E69CD" w:rsidP="00D330F8">
      <w:pPr>
        <w:pStyle w:val="NWAC0"/>
      </w:pPr>
      <w:r w:rsidRPr="00D330F8">
        <w:t>ВНУТРЕННИХ ВОДНЫХ ПУТЕЙ РОССИЙСКОЙ ФЕДЕРАЦИИ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ind w:firstLine="540"/>
        <w:jc w:val="both"/>
      </w:pPr>
      <w:r w:rsidRPr="00D330F8">
        <w:t>1. Правила движения и стоянки судов в Азово-Донском бассейне внутренних водных путей Российской Федерации (далее - Правила) определяют порядок движения и стоянки судов, осуществляющих судоходство в Азово-Донском бассейне внутренних водных путей Российской Федерации (далее - ВВП Азово-Донского бассейна).</w:t>
      </w:r>
    </w:p>
    <w:p w:rsidR="003E69CD" w:rsidRPr="00D330F8" w:rsidRDefault="003E69CD">
      <w:pPr>
        <w:pStyle w:val="NWAC"/>
        <w:spacing w:before="240"/>
        <w:ind w:firstLine="540"/>
        <w:jc w:val="both"/>
      </w:pPr>
      <w:bookmarkStart w:id="1" w:name="P32"/>
      <w:bookmarkEnd w:id="1"/>
      <w:r w:rsidRPr="00D330F8">
        <w:t>2. Толкаемые и буксируемые составы должны осуществлять движение в соответствии с типовыми схемами формирования составов, указанными в приложении к настоящим Правилам.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Движение составов, отличающихся по своим техническим характеристикам от типовых схем формирования составов, указанных в абзаце первом настоящего пункта, а также движение одиночных судов, длина которых более </w:t>
      </w:r>
      <w:smartTag w:uri="urn:schemas-microsoft-com:office:smarttags" w:element="metricconverter">
        <w:smartTagPr>
          <w:attr w:name="ProductID" w:val="140,0 м"/>
        </w:smartTagPr>
        <w:r w:rsidRPr="00D330F8">
          <w:t>140,0 м</w:t>
        </w:r>
      </w:smartTag>
      <w:r w:rsidRPr="00D330F8">
        <w:t xml:space="preserve">, ширина более </w:t>
      </w:r>
      <w:smartTag w:uri="urn:schemas-microsoft-com:office:smarttags" w:element="metricconverter">
        <w:smartTagPr>
          <w:attr w:name="ProductID" w:val="17,2 м"/>
        </w:smartTagPr>
        <w:r w:rsidRPr="00D330F8">
          <w:t>17,2 м</w:t>
        </w:r>
      </w:smartTag>
      <w:r w:rsidRPr="00D330F8">
        <w:t xml:space="preserve"> или надводная высота более </w:t>
      </w:r>
      <w:smartTag w:uri="urn:schemas-microsoft-com:office:smarttags" w:element="metricconverter">
        <w:smartTagPr>
          <w:attr w:name="ProductID" w:val="15,0 м"/>
        </w:smartTagPr>
        <w:r w:rsidRPr="00D330F8">
          <w:t>15,0 м</w:t>
        </w:r>
      </w:smartTag>
      <w:r w:rsidRPr="00D330F8">
        <w:t>, осуществляется по согласованию с федеральным бюджетным учреждением "Администрация Азово-Донского бассейна внутренних водных путей Российской Федерации" (далее - АБВВП).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3. Движение судов (составов) в темное время суток по участкам ВВП Азово-Донского бассейна со светоотражающей навигационной обстановкой допускается при наличии на судах (составах) исправно действующих радиостанций ультракоротких волн и прожектора.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4. Минимальный запас воды под днищем судна (состава) должен составлять не менее </w:t>
      </w:r>
      <w:smartTag w:uri="urn:schemas-microsoft-com:office:smarttags" w:element="metricconverter">
        <w:smartTagPr>
          <w:attr w:name="ProductID" w:val="0,4 м"/>
        </w:smartTagPr>
        <w:r w:rsidRPr="00D330F8">
          <w:t>0,4 м</w:t>
        </w:r>
      </w:smartTag>
      <w:r w:rsidRPr="00D330F8">
        <w:t xml:space="preserve"> при движении судов (составов) через уложенные плотины Кочетовского шлюза (</w:t>
      </w:r>
      <w:smartTag w:uri="urn:schemas-microsoft-com:office:smarttags" w:element="metricconverter">
        <w:smartTagPr>
          <w:attr w:name="ProductID" w:val="3004,8 км"/>
        </w:smartTagPr>
        <w:r w:rsidRPr="00D330F8">
          <w:t>3004,8 км</w:t>
        </w:r>
      </w:smartTag>
      <w:r w:rsidRPr="00D330F8">
        <w:t xml:space="preserve"> реки Дон), Усть-Манычского шлюза (</w:t>
      </w:r>
      <w:smartTag w:uri="urn:schemas-microsoft-com:office:smarttags" w:element="metricconverter">
        <w:smartTagPr>
          <w:attr w:name="ProductID" w:val="1,8 км"/>
        </w:smartTagPr>
        <w:r w:rsidRPr="00D330F8">
          <w:t>1,8 км</w:t>
        </w:r>
      </w:smartTag>
      <w:r w:rsidRPr="00D330F8">
        <w:t xml:space="preserve"> реки Маныч) и шлюзов N 7 (</w:t>
      </w:r>
      <w:smartTag w:uri="urn:schemas-microsoft-com:office:smarttags" w:element="metricconverter">
        <w:smartTagPr>
          <w:attr w:name="ProductID" w:val="205,0 км"/>
        </w:smartTagPr>
        <w:r w:rsidRPr="00D330F8">
          <w:t>205,0 км</w:t>
        </w:r>
      </w:smartTag>
      <w:r w:rsidRPr="00D330F8">
        <w:t xml:space="preserve"> реки Северский Донец), N 6 (</w:t>
      </w:r>
      <w:smartTag w:uri="urn:schemas-microsoft-com:office:smarttags" w:element="metricconverter">
        <w:smartTagPr>
          <w:attr w:name="ProductID" w:val="169,1 км"/>
        </w:smartTagPr>
        <w:r w:rsidRPr="00D330F8">
          <w:t>169,1 км</w:t>
        </w:r>
      </w:smartTag>
      <w:r w:rsidRPr="00D330F8">
        <w:t xml:space="preserve"> реки Северский Донец), N 5 (</w:t>
      </w:r>
      <w:smartTag w:uri="urn:schemas-microsoft-com:office:smarttags" w:element="metricconverter">
        <w:smartTagPr>
          <w:attr w:name="ProductID" w:val="126,2 км"/>
        </w:smartTagPr>
        <w:r w:rsidRPr="00D330F8">
          <w:t>126,2 км</w:t>
        </w:r>
      </w:smartTag>
      <w:r w:rsidRPr="00D330F8">
        <w:t xml:space="preserve"> реки Северский Донец), N 4 (</w:t>
      </w:r>
      <w:smartTag w:uri="urn:schemas-microsoft-com:office:smarttags" w:element="metricconverter">
        <w:smartTagPr>
          <w:attr w:name="ProductID" w:val="83,6 км"/>
        </w:smartTagPr>
        <w:r w:rsidRPr="00D330F8">
          <w:t>83,6 км</w:t>
        </w:r>
      </w:smartTag>
      <w:r w:rsidRPr="00D330F8">
        <w:t xml:space="preserve"> реки Северский Донец), N 3 (</w:t>
      </w:r>
      <w:smartTag w:uri="urn:schemas-microsoft-com:office:smarttags" w:element="metricconverter">
        <w:smartTagPr>
          <w:attr w:name="ProductID" w:val="33,6 км"/>
        </w:smartTagPr>
        <w:r w:rsidRPr="00D330F8">
          <w:t>33,6 км</w:t>
        </w:r>
      </w:smartTag>
      <w:r w:rsidRPr="00D330F8">
        <w:t xml:space="preserve"> реки Северский Донец) и N 2 (</w:t>
      </w:r>
      <w:smartTag w:uri="urn:schemas-microsoft-com:office:smarttags" w:element="metricconverter">
        <w:smartTagPr>
          <w:attr w:name="ProductID" w:val="9,7 км"/>
        </w:smartTagPr>
        <w:r w:rsidRPr="00D330F8">
          <w:t>9,7 км</w:t>
        </w:r>
      </w:smartTag>
      <w:r w:rsidRPr="00D330F8">
        <w:t xml:space="preserve"> реки Северский Донец).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5. На ВВП Азово-Донского бассейна надводная высота судов (составов) от проектного уровня воды не должна превышать:</w:t>
      </w:r>
    </w:p>
    <w:p w:rsidR="003E69CD" w:rsidRPr="00D330F8" w:rsidRDefault="003E69CD">
      <w:pPr>
        <w:pStyle w:val="NWAC"/>
        <w:spacing w:before="240"/>
        <w:ind w:firstLine="540"/>
        <w:jc w:val="both"/>
      </w:pPr>
      <w:smartTag w:uri="urn:schemas-microsoft-com:office:smarttags" w:element="metricconverter">
        <w:smartTagPr>
          <w:attr w:name="ProductID" w:val="15,0 м"/>
        </w:smartTagPr>
        <w:r w:rsidRPr="00D330F8">
          <w:t>15,0 м</w:t>
        </w:r>
      </w:smartTag>
      <w:r w:rsidRPr="00D330F8">
        <w:t xml:space="preserve"> на участке от устья 132 канала (</w:t>
      </w:r>
      <w:smartTag w:uri="urn:schemas-microsoft-com:office:smarttags" w:element="metricconverter">
        <w:smartTagPr>
          <w:attr w:name="ProductID" w:val="2875,7 км"/>
        </w:smartTagPr>
        <w:r w:rsidRPr="00D330F8">
          <w:t>2875,7 км</w:t>
        </w:r>
      </w:smartTag>
      <w:r w:rsidRPr="00D330F8">
        <w:t xml:space="preserve"> реки Дон) до города Аксай (</w:t>
      </w:r>
      <w:smartTag w:uri="urn:schemas-microsoft-com:office:smarttags" w:element="metricconverter">
        <w:smartTagPr>
          <w:attr w:name="ProductID" w:val="3121,0 км"/>
        </w:smartTagPr>
        <w:r w:rsidRPr="00D330F8">
          <w:t>3121,0 км</w:t>
        </w:r>
      </w:smartTag>
      <w:r w:rsidRPr="00D330F8">
        <w:t xml:space="preserve"> реки Дон);</w:t>
      </w:r>
    </w:p>
    <w:p w:rsidR="003E69CD" w:rsidRPr="00D330F8" w:rsidRDefault="003E69CD">
      <w:pPr>
        <w:pStyle w:val="NWAC"/>
        <w:spacing w:before="240"/>
        <w:ind w:firstLine="540"/>
        <w:jc w:val="both"/>
      </w:pPr>
      <w:smartTag w:uri="urn:schemas-microsoft-com:office:smarttags" w:element="metricconverter">
        <w:smartTagPr>
          <w:attr w:name="ProductID" w:val="12,5 м"/>
        </w:smartTagPr>
        <w:r w:rsidRPr="00D330F8">
          <w:t>12,5 м</w:t>
        </w:r>
      </w:smartTag>
      <w:r w:rsidRPr="00D330F8">
        <w:t xml:space="preserve"> на участке от хутора Красный (</w:t>
      </w:r>
      <w:smartTag w:uri="urn:schemas-microsoft-com:office:smarttags" w:element="metricconverter">
        <w:smartTagPr>
          <w:attr w:name="ProductID" w:val="206,0 км"/>
        </w:smartTagPr>
        <w:r w:rsidRPr="00D330F8">
          <w:t>206,0 км</w:t>
        </w:r>
      </w:smartTag>
      <w:r w:rsidRPr="00D330F8">
        <w:t xml:space="preserve"> реки Северский Донец) до переката Перебойная россыпь (</w:t>
      </w:r>
      <w:smartTag w:uri="urn:schemas-microsoft-com:office:smarttags" w:element="metricconverter">
        <w:smartTagPr>
          <w:attr w:name="ProductID" w:val="160,5 км"/>
        </w:smartTagPr>
        <w:r w:rsidRPr="00D330F8">
          <w:t>160,5 км</w:t>
        </w:r>
      </w:smartTag>
      <w:r w:rsidRPr="00D330F8">
        <w:t xml:space="preserve"> реки Северский Донец);</w:t>
      </w:r>
    </w:p>
    <w:p w:rsidR="003E69CD" w:rsidRPr="00D330F8" w:rsidRDefault="003E69CD">
      <w:pPr>
        <w:pStyle w:val="NWAC"/>
        <w:spacing w:before="240"/>
        <w:ind w:firstLine="540"/>
        <w:jc w:val="both"/>
      </w:pPr>
      <w:smartTag w:uri="urn:schemas-microsoft-com:office:smarttags" w:element="metricconverter">
        <w:smartTagPr>
          <w:attr w:name="ProductID" w:val="9,0 м"/>
        </w:smartTagPr>
        <w:r w:rsidRPr="00D330F8">
          <w:t>9,0 м</w:t>
        </w:r>
      </w:smartTag>
      <w:r w:rsidRPr="00D330F8">
        <w:t xml:space="preserve"> на участке от Новоманычской дамбы (</w:t>
      </w:r>
      <w:smartTag w:uri="urn:schemas-microsoft-com:office:smarttags" w:element="metricconverter">
        <w:smartTagPr>
          <w:attr w:name="ProductID" w:val="179,0 км"/>
        </w:smartTagPr>
        <w:r w:rsidRPr="00D330F8">
          <w:t>179,0 км</w:t>
        </w:r>
      </w:smartTag>
      <w:r w:rsidRPr="00D330F8">
        <w:t xml:space="preserve"> реки Маныч) до устья реки Маныч.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6. Суммарный запас по ширине судна в камере N 1 Кочетовского шлюза разрешается не менее </w:t>
      </w:r>
      <w:smartTag w:uri="urn:schemas-microsoft-com:office:smarttags" w:element="metricconverter">
        <w:smartTagPr>
          <w:attr w:name="ProductID" w:val="0,3 м"/>
        </w:smartTagPr>
        <w:r w:rsidRPr="00D330F8">
          <w:t>0,3 м</w:t>
        </w:r>
      </w:smartTag>
      <w:r w:rsidRPr="00D330F8">
        <w:t xml:space="preserve">. 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ind w:firstLine="540"/>
        <w:jc w:val="both"/>
      </w:pPr>
      <w:r w:rsidRPr="00D330F8">
        <w:t>7. При одновременном подходе к устьевой части 132 канала (</w:t>
      </w:r>
      <w:smartTag w:uri="urn:schemas-microsoft-com:office:smarttags" w:element="metricconverter">
        <w:smartTagPr>
          <w:attr w:name="ProductID" w:val="2875,7 км"/>
        </w:smartTagPr>
        <w:r w:rsidRPr="00D330F8">
          <w:t>2875,7 км</w:t>
        </w:r>
      </w:smartTag>
      <w:r w:rsidRPr="00D330F8">
        <w:t xml:space="preserve"> реки Дон) нескольких судов (составов) сверху и снизу по реке Дон, а также со стороны шлюза N 15 (</w:t>
      </w:r>
      <w:smartTag w:uri="urn:schemas-microsoft-com:office:smarttags" w:element="metricconverter">
        <w:smartTagPr>
          <w:attr w:name="ProductID" w:val="2872,5 км"/>
        </w:smartTagPr>
        <w:r w:rsidRPr="00D330F8">
          <w:t>2872,5 км</w:t>
        </w:r>
      </w:smartTag>
      <w:r w:rsidRPr="00D330F8">
        <w:t xml:space="preserve"> реки Дон), первым должно проходить судно (состав), осуществляющее выход из 132 канала, а после этого судно (состав), идущее по течению реки Дон.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8. Вход и выход из подходного канала Усть-Донецкого порта (</w:t>
      </w:r>
      <w:smartTag w:uri="urn:schemas-microsoft-com:office:smarttags" w:element="metricconverter">
        <w:smartTagPr>
          <w:attr w:name="ProductID" w:val="5,0 км"/>
        </w:smartTagPr>
        <w:r w:rsidRPr="00D330F8">
          <w:t>5,0 км</w:t>
        </w:r>
      </w:smartTag>
      <w:r w:rsidRPr="00D330F8">
        <w:t xml:space="preserve"> реки Северский Донец) судов (составов) допускается только с разрешения диспетчера порта (позывной - "Усть-Донецкий порт"), связь с которым осуществляется на 4 канале ультракоротких волн радиосвязи.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Суда (составы), выходящие из подходного канала Усть-Донецкого порта, должны пропускать суда (составы), следующие по реке Северский Донец.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9. В период весеннего половодья (при расходах воды более 200 м</w:t>
      </w:r>
      <w:r w:rsidRPr="00D330F8">
        <w:rPr>
          <w:vertAlign w:val="superscript"/>
        </w:rPr>
        <w:t>3</w:t>
      </w:r>
      <w:r w:rsidRPr="00D330F8">
        <w:t>/с по Белокалитвенскому водпосту на реке Северский Донец или попусках воды более 600 м</w:t>
      </w:r>
      <w:r w:rsidRPr="00D330F8">
        <w:rPr>
          <w:vertAlign w:val="superscript"/>
        </w:rPr>
        <w:t>3</w:t>
      </w:r>
      <w:r w:rsidRPr="00D330F8">
        <w:t>/с из Цимлянского водохранилища) суда (составы) грузоподъемностью 1000 тонн и более, следующие сверху по реке Дон для захода в реку Северский Донец или выходящие из реки Северский Донец для следования вверх по реке Дон, должны производить оборот на рейде верхнего бьефа Кочетовского гидроузла (</w:t>
      </w:r>
      <w:smartTag w:uri="urn:schemas-microsoft-com:office:smarttags" w:element="metricconverter">
        <w:smartTagPr>
          <w:attr w:name="ProductID" w:val="3001,8 км"/>
        </w:smartTagPr>
        <w:r w:rsidRPr="00D330F8">
          <w:t>3001,8 км</w:t>
        </w:r>
      </w:smartTag>
      <w:r w:rsidRPr="00D330F8">
        <w:t xml:space="preserve"> - </w:t>
      </w:r>
      <w:smartTag w:uri="urn:schemas-microsoft-com:office:smarttags" w:element="metricconverter">
        <w:smartTagPr>
          <w:attr w:name="ProductID" w:val="3003,0 км"/>
        </w:smartTagPr>
        <w:r w:rsidRPr="00D330F8">
          <w:t>3003,0 км</w:t>
        </w:r>
      </w:smartTag>
      <w:r w:rsidRPr="00D330F8">
        <w:t xml:space="preserve"> реки Дон).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10. В период весеннего половодья суда (составы), следующие по реке Дон и подходящие к устью реки Северский Донец сверху или снизу, пропускают суда (составы), выходящие из реки Северский Донец в реку Дон.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По окончании весеннего половодья суда (составы), выходящие из реки Северский Донец в реку Дон, должны пропускать суда (составы), следующие по реке Дон.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11. Движение составов в период весеннего половодья по Огибскому колену (47,5 - </w:t>
      </w:r>
      <w:smartTag w:uri="urn:schemas-microsoft-com:office:smarttags" w:element="metricconverter">
        <w:smartTagPr>
          <w:attr w:name="ProductID" w:val="49,5 км"/>
        </w:smartTagPr>
        <w:r w:rsidRPr="00D330F8">
          <w:t>49,5 км</w:t>
        </w:r>
      </w:smartTag>
      <w:r w:rsidRPr="00D330F8">
        <w:t xml:space="preserve"> реки Северский Донец) должно осуществляться в сопровождении вспомогательного буксира (буксиров).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12. Заход на акваторию Семикаракорского затона (</w:t>
      </w:r>
      <w:smartTag w:uri="urn:schemas-microsoft-com:office:smarttags" w:element="metricconverter">
        <w:smartTagPr>
          <w:attr w:name="ProductID" w:val="3010,3 км"/>
        </w:smartTagPr>
        <w:r w:rsidRPr="00D330F8">
          <w:t>3010,3 км</w:t>
        </w:r>
      </w:smartTag>
      <w:r w:rsidRPr="00D330F8">
        <w:t xml:space="preserve"> реки Дон) и выход из акватории Семикаракорского затона судов (составов) допускается только с разрешения диспетчера Кочетовского шлюза, связь с которым осуществляется на 3 канале ультракоротких волн радиосвязи, и диспетчера АБВВП.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Суда (составы), следующие сверху по реке Дон для захода в Семикаракорский затон или выходящие из Семикаракорского затона для следования вверх по реке Дон, должны проследовать на Семикаракорский рейд (</w:t>
      </w:r>
      <w:smartTag w:uri="urn:schemas-microsoft-com:office:smarttags" w:element="metricconverter">
        <w:smartTagPr>
          <w:attr w:name="ProductID" w:val="3011,2 км"/>
        </w:smartTagPr>
        <w:r w:rsidRPr="00D330F8">
          <w:t>3011,2 км</w:t>
        </w:r>
      </w:smartTag>
      <w:r w:rsidRPr="00D330F8">
        <w:t xml:space="preserve"> - </w:t>
      </w:r>
      <w:smartTag w:uri="urn:schemas-microsoft-com:office:smarttags" w:element="metricconverter">
        <w:smartTagPr>
          <w:attr w:name="ProductID" w:val="3012,0 км"/>
        </w:smartTagPr>
        <w:r w:rsidRPr="00D330F8">
          <w:t>3012,0 км</w:t>
        </w:r>
      </w:smartTag>
      <w:r w:rsidRPr="00D330F8">
        <w:t xml:space="preserve"> реки Дон) для выполнения оборота.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13. Пропуск маломерных судов, используемых в некоммерческих целях, прогулочных и спортивных парусных судов через шлюзы, расположенные на ВВП Азово-Донского бассейна, осуществляется только в светлое время суток.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Очередность шлюзования маломерных, прогулочных и спортивных парусных судов устанавливается по времени подхода к шлюзу.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При отсутствии судов (составов), следующих на шлюзование, пропуск маломерных, прогулочных и спортивных парусных судов через шлюз может быть осуществлен по решению диспетчера шлюза при проведении холостого наполнения или холостого опорожнения шлюза.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Маломерные, прогулочные и спортивные парусные суда, не имеющие движителей (в том числе гребные и парусные суда), допускаются к шлюзованию только совместно с буксирующим их судном.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14. На ВВП Азово-Донского бассейна запрещается: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1) буксировка плавучих кранов под мостами, воздушными переходами с не уложенными "по-походному" стрелами;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2) буксировка или толкание более одной баржи под железнодорожным (</w:t>
      </w:r>
      <w:smartTag w:uri="urn:schemas-microsoft-com:office:smarttags" w:element="metricconverter">
        <w:smartTagPr>
          <w:attr w:name="ProductID" w:val="192,9 км"/>
        </w:smartTagPr>
        <w:r w:rsidRPr="00D330F8">
          <w:t>192,9 км</w:t>
        </w:r>
      </w:smartTag>
      <w:r w:rsidRPr="00D330F8">
        <w:t xml:space="preserve"> реки Северский Донец) и автодорожным (</w:t>
      </w:r>
      <w:smartTag w:uri="urn:schemas-microsoft-com:office:smarttags" w:element="metricconverter">
        <w:smartTagPr>
          <w:attr w:name="ProductID" w:val="187,5 км"/>
        </w:smartTagPr>
        <w:r w:rsidRPr="00D330F8">
          <w:t>187,5 км</w:t>
        </w:r>
      </w:smartTag>
      <w:r w:rsidRPr="00D330F8">
        <w:t xml:space="preserve"> реки Северский Донец) мостами в городе Каменск-Шахтинский;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3) движение судов (составов) под железнодорожным и автодорожным мостами в городе Каменск-Шахтинский в период весеннего половодья;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4) расхождение и обгон судов (составов) на участке от устья до </w:t>
      </w:r>
      <w:smartTag w:uri="urn:schemas-microsoft-com:office:smarttags" w:element="metricconverter">
        <w:smartTagPr>
          <w:attr w:name="ProductID" w:val="1,2 км"/>
        </w:smartTagPr>
        <w:r w:rsidRPr="00D330F8">
          <w:t>1,2 км</w:t>
        </w:r>
      </w:smartTag>
      <w:r w:rsidRPr="00D330F8">
        <w:t xml:space="preserve"> реки Маныч;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5) буксировка или толкание более одной баржи при движении через уложенную плотину Усть-Манычского шлюза (</w:t>
      </w:r>
      <w:smartTag w:uri="urn:schemas-microsoft-com:office:smarttags" w:element="metricconverter">
        <w:smartTagPr>
          <w:attr w:name="ProductID" w:val="1,8 км"/>
        </w:smartTagPr>
        <w:r w:rsidRPr="00D330F8">
          <w:t>1,8 км</w:t>
        </w:r>
      </w:smartTag>
      <w:r w:rsidRPr="00D330F8">
        <w:t xml:space="preserve"> реки Маныч);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6) движение судов (составов) через уложенные плотины шлюзов с опущенными якорями, цепями (тросами) - волокушами, иными устройствами, находящимися за бортом;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7) движение судов (составов) при дальности видимости менее одного километра (в обоих направлениях) на участках ВВП Азово-Донского бассейна: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реки Дон от </w:t>
      </w:r>
      <w:smartTag w:uri="urn:schemas-microsoft-com:office:smarttags" w:element="metricconverter">
        <w:smartTagPr>
          <w:attr w:name="ProductID" w:val="2875,7 км"/>
        </w:smartTagPr>
        <w:r w:rsidRPr="00D330F8">
          <w:t>2875,7 км</w:t>
        </w:r>
      </w:smartTag>
      <w:r w:rsidRPr="00D330F8">
        <w:t xml:space="preserve"> до </w:t>
      </w:r>
      <w:smartTag w:uri="urn:schemas-microsoft-com:office:smarttags" w:element="metricconverter">
        <w:smartTagPr>
          <w:attr w:name="ProductID" w:val="3121,0 км"/>
        </w:smartTagPr>
        <w:r w:rsidRPr="00D330F8">
          <w:t>3121,0 км</w:t>
        </w:r>
      </w:smartTag>
      <w:r w:rsidRPr="00D330F8">
        <w:t>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реки Северский Донец от </w:t>
      </w:r>
      <w:smartTag w:uri="urn:schemas-microsoft-com:office:smarttags" w:element="metricconverter">
        <w:smartTagPr>
          <w:attr w:name="ProductID" w:val="206,0 км"/>
        </w:smartTagPr>
        <w:r w:rsidRPr="00D330F8">
          <w:t>206,0 км</w:t>
        </w:r>
      </w:smartTag>
      <w:r w:rsidRPr="00D330F8">
        <w:t xml:space="preserve"> до устья (</w:t>
      </w:r>
      <w:smartTag w:uri="urn:schemas-microsoft-com:office:smarttags" w:element="metricconverter">
        <w:smartTagPr>
          <w:attr w:name="ProductID" w:val="2997,0 км"/>
        </w:smartTagPr>
        <w:r w:rsidRPr="00D330F8">
          <w:t>2997,0 км</w:t>
        </w:r>
      </w:smartTag>
      <w:r w:rsidRPr="00D330F8">
        <w:t xml:space="preserve"> реки Дон);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 xml:space="preserve">реки Маныч от </w:t>
      </w:r>
      <w:smartTag w:uri="urn:schemas-microsoft-com:office:smarttags" w:element="metricconverter">
        <w:smartTagPr>
          <w:attr w:name="ProductID" w:val="179,0 км"/>
        </w:smartTagPr>
        <w:r w:rsidRPr="00D330F8">
          <w:t>179,0 км</w:t>
        </w:r>
      </w:smartTag>
      <w:r w:rsidRPr="00D330F8">
        <w:t xml:space="preserve"> до устья (</w:t>
      </w:r>
      <w:smartTag w:uri="urn:schemas-microsoft-com:office:smarttags" w:element="metricconverter">
        <w:smartTagPr>
          <w:attr w:name="ProductID" w:val="3084,6 км"/>
        </w:smartTagPr>
        <w:r w:rsidRPr="00D330F8">
          <w:t>3084,6 км</w:t>
        </w:r>
      </w:smartTag>
      <w:r w:rsidRPr="00D330F8">
        <w:t xml:space="preserve"> реки Дон);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8) движение и маневрирование на ВВП Азово-Донского бассейна при силе ветра 15 м/с и более составов грузоподъемностью более 2000 тонн в балласте, а также судов с отсутствующими или неисправными подруливающими устройствами;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9) заход в камеру Кочетовского шлюза и выход из нее судов (составов) грузоподъемностью более 2000 тонн в балласте при силе ветра 10 м/с и более в случае, если у причальной стенки шлюза ошвартованы суда;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10) выход судов (составов) на заднем ходу из Семикаракорского затона;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15. Диспетчерское регулирование движения судов на ВВП Азово-Донского бассейна осуществляется: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на реке Дон от устья 132 канала (2875,7 км) до границы с морским режимом судоходства города Аксай (3121,0 км);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на реке Северский Донец от хутора Красный (206,0 км) до устья;</w:t>
      </w:r>
    </w:p>
    <w:p w:rsidR="003E69CD" w:rsidRPr="00D330F8" w:rsidRDefault="003E69CD">
      <w:pPr>
        <w:pStyle w:val="NWAC"/>
        <w:spacing w:before="240"/>
        <w:ind w:firstLine="540"/>
        <w:jc w:val="both"/>
      </w:pPr>
      <w:r w:rsidRPr="00D330F8">
        <w:t>на реке Маныч от Новоманычской дамбы (179,0 км) до устья.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jc w:val="right"/>
        <w:outlineLvl w:val="1"/>
      </w:pPr>
      <w:r w:rsidRPr="00D330F8">
        <w:t>Приложение</w:t>
      </w:r>
    </w:p>
    <w:p w:rsidR="003E69CD" w:rsidRPr="00D330F8" w:rsidRDefault="003E69CD">
      <w:pPr>
        <w:pStyle w:val="NWAC"/>
        <w:jc w:val="right"/>
      </w:pPr>
      <w:r w:rsidRPr="00D330F8">
        <w:t>к Правилам движения и стоянки судов</w:t>
      </w:r>
    </w:p>
    <w:p w:rsidR="003E69CD" w:rsidRPr="00D330F8" w:rsidRDefault="003E69CD">
      <w:pPr>
        <w:pStyle w:val="NWAC"/>
        <w:jc w:val="right"/>
      </w:pPr>
      <w:r w:rsidRPr="00D330F8">
        <w:t>в Азово-Донском бассейне внутренних</w:t>
      </w:r>
    </w:p>
    <w:p w:rsidR="003E69CD" w:rsidRPr="00D330F8" w:rsidRDefault="003E69CD">
      <w:pPr>
        <w:pStyle w:val="NWAC"/>
        <w:jc w:val="right"/>
      </w:pPr>
      <w:r w:rsidRPr="00D330F8">
        <w:t>водных путей Российской Федерации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 w:rsidP="00D330F8">
      <w:pPr>
        <w:pStyle w:val="NWAC0"/>
      </w:pPr>
      <w:bookmarkStart w:id="2" w:name="P85"/>
      <w:bookmarkEnd w:id="2"/>
      <w:r w:rsidRPr="00D330F8">
        <w:t>ТИПОВЫЕ СХЕМЫ ФОРМИРОВАНИЯ СОСТАВОВ</w:t>
      </w:r>
    </w:p>
    <w:p w:rsidR="003E69CD" w:rsidRPr="00D330F8" w:rsidRDefault="003E69CD">
      <w:pPr>
        <w:pStyle w:val="NWAC"/>
        <w:jc w:val="both"/>
      </w:pPr>
    </w:p>
    <w:p w:rsidR="003E69CD" w:rsidRPr="00D330F8" w:rsidRDefault="003E69CD">
      <w:pPr>
        <w:pStyle w:val="NWAC"/>
        <w:sectPr w:rsidR="003E69CD" w:rsidRPr="00D330F8" w:rsidSect="00D330F8">
          <w:footerReference w:type="default" r:id="rId6"/>
          <w:footerReference w:type="first" r:id="rId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"/>
        <w:gridCol w:w="306"/>
        <w:gridCol w:w="1955"/>
        <w:gridCol w:w="1142"/>
        <w:gridCol w:w="1617"/>
        <w:gridCol w:w="1424"/>
        <w:gridCol w:w="1119"/>
        <w:gridCol w:w="1119"/>
        <w:gridCol w:w="1089"/>
        <w:gridCol w:w="2302"/>
        <w:gridCol w:w="1885"/>
      </w:tblGrid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N п/п</w:t>
            </w:r>
          </w:p>
        </w:tc>
        <w:tc>
          <w:tcPr>
            <w:tcW w:w="0" w:type="auto"/>
            <w:vMerge w:val="restart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Наименование участка внутренних водных путей Российской Федерации</w:t>
            </w:r>
          </w:p>
        </w:tc>
        <w:tc>
          <w:tcPr>
            <w:tcW w:w="0" w:type="auto"/>
            <w:vMerge w:val="restart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Протяжен</w:t>
            </w:r>
            <w:r>
              <w:t>-</w:t>
            </w:r>
            <w:r w:rsidRPr="00D330F8">
              <w:t>ность участка, км</w:t>
            </w:r>
          </w:p>
        </w:tc>
        <w:tc>
          <w:tcPr>
            <w:tcW w:w="0" w:type="auto"/>
            <w:vMerge w:val="restart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Минимально допустимая мощность буксира/толкача, кВт</w:t>
            </w:r>
          </w:p>
        </w:tc>
        <w:tc>
          <w:tcPr>
            <w:tcW w:w="0" w:type="auto"/>
            <w:vMerge w:val="restart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Максимальная грузоподъем-ность состава, тонн</w:t>
            </w:r>
          </w:p>
        </w:tc>
        <w:tc>
          <w:tcPr>
            <w:tcW w:w="0" w:type="auto"/>
            <w:vMerge w:val="restart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Разрешен-ная габаритная длина состава, м</w:t>
            </w:r>
          </w:p>
        </w:tc>
        <w:tc>
          <w:tcPr>
            <w:tcW w:w="0" w:type="auto"/>
            <w:vMerge w:val="restart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Разрешен-ная габаритная ширина состава, м</w:t>
            </w:r>
          </w:p>
        </w:tc>
        <w:tc>
          <w:tcPr>
            <w:tcW w:w="0" w:type="auto"/>
            <w:gridSpan w:val="2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Типовая схема формирования состава</w:t>
            </w:r>
          </w:p>
        </w:tc>
        <w:tc>
          <w:tcPr>
            <w:tcW w:w="0" w:type="auto"/>
            <w:vMerge w:val="restart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Примечание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Применяемые обозначения: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19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онсультант Плюс" o:spid="_x0000_i1025" type="#_x0000_t75" style="width:51pt;height:31.5pt;visibility:visibl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 буксир/толкач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5"/>
                <w:sz w:val="22"/>
              </w:rPr>
              <w:pict>
                <v:shape id="_x0000_i1026" type="#_x0000_t75" style="width:56.25pt;height:17.25pt;visibility:visible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 буксируемый/толкаемый объект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13"/>
                <w:sz w:val="22"/>
              </w:rPr>
              <w:pict>
                <v:shape id="_x0000_i1027" type="#_x0000_t75" style="width:54.75pt;height:25.5pt;visibility:visible">
                  <v:imagedata r:id="rId10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 плавучий кран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</w:t>
            </w:r>
          </w:p>
        </w:tc>
        <w:tc>
          <w:tcPr>
            <w:tcW w:w="0" w:type="auto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</w:t>
            </w:r>
          </w:p>
        </w:tc>
        <w:tc>
          <w:tcPr>
            <w:tcW w:w="0" w:type="auto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</w:t>
            </w:r>
          </w:p>
        </w:tc>
        <w:tc>
          <w:tcPr>
            <w:tcW w:w="0" w:type="auto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</w:t>
            </w:r>
          </w:p>
        </w:tc>
        <w:tc>
          <w:tcPr>
            <w:tcW w:w="0" w:type="auto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</w:t>
            </w:r>
          </w:p>
        </w:tc>
        <w:tc>
          <w:tcPr>
            <w:tcW w:w="0" w:type="auto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</w:t>
            </w:r>
          </w:p>
        </w:tc>
        <w:tc>
          <w:tcPr>
            <w:tcW w:w="0" w:type="auto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</w:t>
            </w:r>
          </w:p>
        </w:tc>
        <w:tc>
          <w:tcPr>
            <w:tcW w:w="0" w:type="auto"/>
            <w:gridSpan w:val="2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</w:t>
            </w:r>
          </w:p>
        </w:tc>
        <w:tc>
          <w:tcPr>
            <w:tcW w:w="0" w:type="auto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11"/>
            <w:vAlign w:val="center"/>
          </w:tcPr>
          <w:p w:rsidR="003E69CD" w:rsidRPr="00D330F8" w:rsidRDefault="003E69CD">
            <w:pPr>
              <w:pStyle w:val="NWAC"/>
              <w:jc w:val="center"/>
              <w:outlineLvl w:val="2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РЕКА ДОН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1471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3000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134,73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28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138,5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140,2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139,85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131,52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126,41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17,5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112,4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110,49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10,05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99,35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14,03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111,23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10,05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100,09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14,03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103,7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101,79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10,05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90,65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72,7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92,8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91,25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84,5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96,4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94,85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88,1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94,66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93,11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86,36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75,16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5010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138,5 &lt;*&gt;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16,7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29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4800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138,5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139,35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138,6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120,3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14,04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137,8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137,8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139,5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139,15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138,4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130,82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3" w:name="P271"/>
            <w:bookmarkEnd w:id="3"/>
            <w:r w:rsidRPr="00D330F8">
              <w:rPr>
                <w:rFonts w:cs="Arial"/>
                <w:sz w:val="22"/>
              </w:rPr>
              <w:t>&lt;*&gt; - порожнем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125,71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17,5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113,14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122,75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123,1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114,2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112,5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14,04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107,9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1177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105,99 &lt;*&gt;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10,05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3270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109,0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30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 только в светлое время суток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3100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109,31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17,5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1200 &lt;*&gt;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125,2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0"/>
                <w:sz w:val="22"/>
              </w:rPr>
              <w:pict>
                <v:shape id="_x0000_i1031" type="#_x0000_t75" style="width:151.5pt;height:31.5pt;visibility:visible">
                  <v:imagedata r:id="rId12" o:title=""/>
                </v:shape>
              </w:pic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4" w:name="P326"/>
            <w:bookmarkEnd w:id="4"/>
            <w:r w:rsidRPr="00D330F8">
              <w:rPr>
                <w:rFonts w:cs="Arial"/>
                <w:sz w:val="22"/>
              </w:rPr>
              <w:t>&lt;*&gt; - 2 x 600 тонн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5.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1765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5000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138,4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16,86</w:t>
            </w:r>
          </w:p>
        </w:tc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32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нефтеналивной баржи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1765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4000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137,12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33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баржи-площадки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544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3700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136,4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7.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92,6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37"/>
                <w:sz w:val="22"/>
              </w:rPr>
              <w:pict>
                <v:shape id="_x0000_i1034" type="#_x0000_t75" style="width:151.5pt;height:48.75pt;visibility:visible">
                  <v:imagedata r:id="rId13" o:title=""/>
                </v:shape>
              </w:pic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5" w:name="P357"/>
            <w:bookmarkEnd w:id="5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76,2 &lt;**&gt;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57,15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6" w:name="P364"/>
            <w:bookmarkEnd w:id="6"/>
            <w:r w:rsidRPr="00D330F8">
              <w:rPr>
                <w:rFonts w:cs="Arial"/>
                <w:sz w:val="22"/>
              </w:rPr>
              <w:t>&lt;**&gt; - только в светлое время суток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8.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76,8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37"/>
                <w:sz w:val="22"/>
              </w:rPr>
              <w:pict>
                <v:shape id="_x0000_i1035" type="#_x0000_t75" style="width:151.5pt;height:48.75pt;visibility:visible">
                  <v:imagedata r:id="rId13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только в светлое время суток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80,4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9.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6"/>
                <w:sz w:val="22"/>
              </w:rPr>
              <w:pict>
                <v:shape id="_x0000_i1036" type="#_x0000_t75" style="width:152.25pt;height:37.5pt;visibility:visible">
                  <v:imagedata r:id="rId14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7" w:name="P384"/>
            <w:bookmarkEnd w:id="7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тонн). Пропуск через шлюз осуществляется в сопровождении вспомогательного буксира мощностью не менее 110,3 кВт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80,4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73,6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10.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6"/>
                <w:sz w:val="22"/>
              </w:rPr>
              <w:pict>
                <v:shape id="_x0000_i1037" type="#_x0000_t75" style="width:152.25pt;height:37.5pt;visibility:visible">
                  <v:imagedata r:id="rId14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8" w:name="P399"/>
            <w:bookmarkEnd w:id="8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тонн). Пропуск через шлюз осуществляется в сопровождении вспомогательного буксира мощностью не менее 110,3 кВт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57,15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11.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400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122,04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4"/>
                <w:sz w:val="22"/>
              </w:rPr>
              <w:pict>
                <v:shape id="_x0000_i1038" type="#_x0000_t75" style="width:155.25pt;height:36.75pt;visibility:visible">
                  <v:imagedata r:id="rId1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 и плавучего крана грузоподъемностью 5 тонн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12.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 &lt;*&gt;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135,65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4"/>
                <w:sz w:val="22"/>
              </w:rPr>
              <w:pict>
                <v:shape id="_x0000_i1039" type="#_x0000_t75" style="width:155.25pt;height:36.75pt;visibility:visible">
                  <v:imagedata r:id="rId15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9" w:name="P420"/>
            <w:bookmarkEnd w:id="9"/>
            <w:r w:rsidRPr="00D330F8">
              <w:rPr>
                <w:rFonts w:cs="Arial"/>
                <w:sz w:val="22"/>
              </w:rPr>
              <w:t>Схема буксировки баржи и плавучего крана грузоподъемностью 16 тонн (&lt;*&gt; - 5 тонн) только в светлое время суток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400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128,74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13.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294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 &lt;*&gt;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139,85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4"/>
                <w:sz w:val="22"/>
              </w:rPr>
              <w:pict>
                <v:shape id="_x0000_i1040" type="#_x0000_t75" style="width:155.25pt;height:36.75pt;visibility:visible">
                  <v:imagedata r:id="rId15" o:title=""/>
                </v:shape>
              </w:pic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 и плавучего крана грузоподъемностью 5 тонн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123,4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0" w:name="P438"/>
            <w:bookmarkEnd w:id="10"/>
            <w:r w:rsidRPr="00D330F8">
              <w:rPr>
                <w:rFonts w:cs="Arial"/>
                <w:sz w:val="22"/>
              </w:rPr>
              <w:t>&lt;*&gt; - только в светлое время суток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14.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400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128,74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7"/>
                <w:sz w:val="22"/>
              </w:rPr>
              <w:pict>
                <v:shape id="_x0000_i1041" type="#_x0000_t75" style="width:153pt;height:39pt;visibility:visible">
                  <v:imagedata r:id="rId16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1" w:name="P447"/>
            <w:bookmarkEnd w:id="11"/>
            <w:r w:rsidRPr="00D330F8">
              <w:rPr>
                <w:rFonts w:cs="Arial"/>
                <w:sz w:val="22"/>
              </w:rPr>
              <w:t>Схема буксировки баржи и плавучего крана грузоподъемностью 16 тонн (&lt;*&gt; - 5 тонн). Пропуск через шлюз осуществляется в сопровождении вспомогательного буксира мощностью не менее 220,6 кВт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400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122,04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15.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73,6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9,2</w:t>
            </w:r>
          </w:p>
        </w:tc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4"/>
                <w:sz w:val="22"/>
              </w:rPr>
              <w:pict>
                <v:shape id="_x0000_i1042" type="#_x0000_t75" style="width:153.75pt;height:35.25pt;visibility:visibl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 (1) и дноуглубительного снаряда (2)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16.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Усть-Донецкий порт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252,3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544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283,0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16,8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57"/>
                <w:sz w:val="22"/>
              </w:rPr>
              <w:pict>
                <v:shape id="_x0000_i1043" type="#_x0000_t75" style="width:153pt;height:67.5pt;visibility:visible">
                  <v:imagedata r:id="rId18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буксируемого состава:</w:t>
            </w:r>
          </w:p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дноуглубительный снаряд (1), &lt;1&gt; брандвахта (2), &lt;2&gt; понтон (3), &lt;3&gt; мотозавозня речная (4), &lt;4&gt; грунтопровод (5) &lt;5&gt;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277,76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17.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г. Аксай (3121,0 км)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245,3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1471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3000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135,4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44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18.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245,3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1765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3500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137,56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45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нефтеналивной баржи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1544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4359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134,71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1544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4321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134,71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4233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135,6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136,23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131,43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4359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130,78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4321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130,78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132,1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3700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131,8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4233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135,4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97,6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776,5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62,65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1440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97,05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12,32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19.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Устье 132 канала (2875,7 км) - г. Аксай (3121,0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245,3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4359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130,08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46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нефтеналивной баржи при скорости ветра не более 12 м/с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4321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130,08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3500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126,8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16,5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20.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Усть-Донецкий порт - г. Аксай (3121,0 км)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130,9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1103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4000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145,1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47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нефтеналивной баржи при скорости ветра не более 10 м/с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11"/>
            <w:vAlign w:val="center"/>
          </w:tcPr>
          <w:p w:rsidR="003E69CD" w:rsidRPr="00D330F8" w:rsidRDefault="003E69CD">
            <w:pPr>
              <w:pStyle w:val="NWAC"/>
              <w:jc w:val="center"/>
              <w:outlineLvl w:val="2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РЕКА СЕВЕРСКИЙ ДОНЕЦ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21.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Перекат Нижнекрасный (205 км) - вход в канал Усть-Донецкого порта (5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201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90,65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48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72,7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92,8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91,25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84,5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96,4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94,85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88,1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94,66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93,11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86,36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75,16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22.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Перекат Нижнекрасный (205 км) - вход в канал Усть-Донецкого порта (5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201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92,6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37"/>
                <w:sz w:val="22"/>
              </w:rPr>
              <w:pict>
                <v:shape id="_x0000_i1049" type="#_x0000_t75" style="width:151.5pt;height:48.75pt;visibility:visible">
                  <v:imagedata r:id="rId13" o:title=""/>
                </v:shape>
              </w:pic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2" w:name="P639"/>
            <w:bookmarkEnd w:id="12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76,2 &lt;**&gt;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57,15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3" w:name="P646"/>
            <w:bookmarkEnd w:id="13"/>
            <w:r w:rsidRPr="00D330F8">
              <w:rPr>
                <w:rFonts w:cs="Arial"/>
                <w:sz w:val="22"/>
              </w:rPr>
              <w:t>&lt;**&gt; - только в светлое время суток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23.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Перекат Нижнекрасный (205 км) - вход в канал Усть-Донецкого порта (5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201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76,8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37"/>
                <w:sz w:val="22"/>
              </w:rPr>
              <w:pict>
                <v:shape id="_x0000_i1050" type="#_x0000_t75" style="width:151.5pt;height:48.75pt;visibility:visible">
                  <v:imagedata r:id="rId13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только в светлое время суток при скорости ветра не более 12 м/с</w:t>
            </w: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80,4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24.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Перекат Нижнекрасный (205 км) - вход в канал Усть-Донецкого порта (5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201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70 &lt;*&gt;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6"/>
                <w:sz w:val="22"/>
              </w:rPr>
              <w:pict>
                <v:shape id="_x0000_i1051" type="#_x0000_t75" style="width:152.25pt;height:37.5pt;visibility:visible">
                  <v:imagedata r:id="rId14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4" w:name="P666"/>
            <w:bookmarkEnd w:id="14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 при скорости ветра не более 12 м/с. Пропуск через шлюз осуществляется в сопровождении вспомогательного буксира мощностью не менее 110,3 кВт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80,4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70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25.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Перекат Нижнекрасный (205 км) - вход в канал Усть-Донецкого порта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66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6"/>
                <w:sz w:val="22"/>
              </w:rPr>
              <w:pict>
                <v:shape id="_x0000_i1052" type="#_x0000_t75" style="width:152.25pt;height:37.5pt;visibility:visible">
                  <v:imagedata r:id="rId14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5" w:name="P681"/>
            <w:bookmarkEnd w:id="15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тонн). Пропуск через шлюз осуществляется в сопровождении вспомогательного буксира мощностью не менее 110,3 кВт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73,6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57,15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26.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Перекат Нижнекалиновский - вход в канал Усть-Донецкого порта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66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73,6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9,2</w:t>
            </w:r>
          </w:p>
        </w:tc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4"/>
                <w:sz w:val="22"/>
              </w:rPr>
              <w:pict>
                <v:shape id="_x0000_i1053" type="#_x0000_t75" style="width:153.75pt;height:35.25pt;visibility:visibl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 (1) и дноуглубительного снаряда (2)</w:t>
            </w: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gridSpan w:val="10"/>
            <w:vAlign w:val="center"/>
          </w:tcPr>
          <w:p w:rsidR="003E69CD" w:rsidRPr="00D330F8" w:rsidRDefault="003E69CD">
            <w:pPr>
              <w:pStyle w:val="NWAC"/>
              <w:jc w:val="center"/>
              <w:outlineLvl w:val="2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РЕКА СЕВЕРСКИЙ ДОНЕЦ В ПЕРИОД ВЕСЕННЕГО ПОЛОВОДЬЯ</w:t>
            </w:r>
          </w:p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(при расходах воды более 200 м</w:t>
            </w:r>
            <w:r w:rsidRPr="00D330F8">
              <w:rPr>
                <w:rFonts w:cs="Arial"/>
                <w:sz w:val="22"/>
                <w:vertAlign w:val="superscript"/>
              </w:rPr>
              <w:t>3</w:t>
            </w:r>
            <w:r w:rsidRPr="00D330F8">
              <w:rPr>
                <w:rFonts w:cs="Arial"/>
                <w:sz w:val="22"/>
              </w:rPr>
              <w:t>/с по Белокалитвенскому водпосту на реке Северский Донец или попусках воды более 600 м</w:t>
            </w:r>
            <w:r w:rsidRPr="00D330F8">
              <w:rPr>
                <w:rFonts w:cs="Arial"/>
                <w:sz w:val="22"/>
                <w:vertAlign w:val="superscript"/>
              </w:rPr>
              <w:t>3</w:t>
            </w:r>
            <w:r w:rsidRPr="00D330F8">
              <w:rPr>
                <w:rFonts w:cs="Arial"/>
                <w:sz w:val="22"/>
              </w:rPr>
              <w:t>/с из Цимлянского водохранилища)</w:t>
            </w: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27.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Огибское колено</w:t>
            </w:r>
          </w:p>
          <w:p w:rsidR="003E69CD" w:rsidRPr="00D330F8" w:rsidRDefault="003E69CD">
            <w:pPr>
              <w:pStyle w:val="NWAC"/>
              <w:jc w:val="center"/>
            </w:pPr>
            <w:r w:rsidRPr="00D330F8">
              <w:t>(47,5 - 49,5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90,65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54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72,7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92,8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91,25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84,5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96,4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94,85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88,1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94,66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93,11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14,2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86,36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13,4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75,16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12,2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28.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Огибское колено</w:t>
            </w:r>
          </w:p>
          <w:p w:rsidR="003E69CD" w:rsidRPr="00D330F8" w:rsidRDefault="003E69CD">
            <w:pPr>
              <w:pStyle w:val="NWAC"/>
              <w:jc w:val="center"/>
            </w:pPr>
            <w:r w:rsidRPr="00D330F8">
              <w:t>(47,5 - 49,5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588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92,6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37"/>
                <w:sz w:val="22"/>
              </w:rPr>
              <w:pict>
                <v:shape id="_x0000_i1055" type="#_x0000_t75" style="width:151.5pt;height:48.75pt;visibility:visible">
                  <v:imagedata r:id="rId13" o:title=""/>
                </v:shape>
              </w:pic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6" w:name="P769"/>
            <w:bookmarkEnd w:id="16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76,2 &lt;**&gt;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57,15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7" w:name="P776"/>
            <w:bookmarkEnd w:id="17"/>
            <w:r w:rsidRPr="00D330F8">
              <w:rPr>
                <w:rFonts w:cs="Arial"/>
                <w:sz w:val="22"/>
              </w:rPr>
              <w:t>&lt;**&gt; - только в светлое время суток</w:t>
            </w: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29.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Огибское колено</w:t>
            </w:r>
          </w:p>
          <w:p w:rsidR="003E69CD" w:rsidRPr="00D330F8" w:rsidRDefault="003E69CD">
            <w:pPr>
              <w:pStyle w:val="NWAC"/>
              <w:jc w:val="center"/>
            </w:pPr>
            <w:r w:rsidRPr="00D330F8">
              <w:t>(47,5 - 49,5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76,8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37"/>
                <w:sz w:val="22"/>
              </w:rPr>
              <w:pict>
                <v:shape id="_x0000_i1056" type="#_x0000_t75" style="width:151.5pt;height:48.75pt;visibility:visible">
                  <v:imagedata r:id="rId13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только в светлое время суток</w:t>
            </w: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80,4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30.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Огибское колено</w:t>
            </w:r>
          </w:p>
          <w:p w:rsidR="003E69CD" w:rsidRPr="00D330F8" w:rsidRDefault="003E69CD">
            <w:pPr>
              <w:pStyle w:val="NWAC"/>
              <w:jc w:val="center"/>
            </w:pPr>
            <w:r w:rsidRPr="00D330F8">
              <w:t>(47,5 - 49,5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70 &lt;*&gt;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6"/>
                <w:sz w:val="22"/>
              </w:rPr>
              <w:pict>
                <v:shape id="_x0000_i1057" type="#_x0000_t75" style="width:152.25pt;height:37.5pt;visibility:visible">
                  <v:imagedata r:id="rId14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8" w:name="P798"/>
            <w:bookmarkEnd w:id="18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тонн). Пропуск через шлюз осуществляется в сопровождении вспомогательного буксира мощностью не менее 110,3 кВт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80,4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70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31.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Огибское колено</w:t>
            </w:r>
          </w:p>
          <w:p w:rsidR="003E69CD" w:rsidRPr="00D330F8" w:rsidRDefault="003E69CD">
            <w:pPr>
              <w:pStyle w:val="NWAC"/>
              <w:jc w:val="center"/>
            </w:pPr>
            <w:r w:rsidRPr="00D330F8">
              <w:t>(47,5 - 49,5 км)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441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6"/>
                <w:sz w:val="22"/>
              </w:rPr>
              <w:pict>
                <v:shape id="_x0000_i1058" type="#_x0000_t75" style="width:152.25pt;height:37.5pt;visibility:visible">
                  <v:imagedata r:id="rId14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19" w:name="P814"/>
            <w:bookmarkEnd w:id="19"/>
            <w:r w:rsidRPr="00D330F8">
              <w:rPr>
                <w:rFonts w:cs="Arial"/>
                <w:sz w:val="22"/>
              </w:rPr>
              <w:t>Схема буксировки плавучего крана грузоподъемностью 16 тонн (&lt;*&gt; - 5 тонн). Пропуск через шлюз осуществляется в сопровождении вспомогательного буксира мощностью не менее 110,3 кВт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73,6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57,15 &lt;*&gt;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12,0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32.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Огибское колено</w:t>
            </w:r>
          </w:p>
          <w:p w:rsidR="003E69CD" w:rsidRPr="00D330F8" w:rsidRDefault="003E69CD">
            <w:pPr>
              <w:pStyle w:val="NWAC"/>
              <w:jc w:val="center"/>
            </w:pPr>
            <w:r w:rsidRPr="00D330F8">
              <w:t>(47,5 - 49,5 км)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2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73,6</w: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9,2</w:t>
            </w:r>
          </w:p>
        </w:tc>
        <w:tc>
          <w:tcPr>
            <w:tcW w:w="0" w:type="auto"/>
            <w:gridSpan w:val="2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4"/>
                <w:sz w:val="22"/>
              </w:rPr>
              <w:pict>
                <v:shape id="_x0000_i1059" type="#_x0000_t75" style="width:153.75pt;height:35.25pt;visibility:visible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баржи (1) и дноуглубительного снаряда (2)</w:t>
            </w: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gridSpan w:val="10"/>
            <w:vAlign w:val="center"/>
          </w:tcPr>
          <w:p w:rsidR="003E69CD" w:rsidRPr="00D330F8" w:rsidRDefault="003E69CD">
            <w:pPr>
              <w:pStyle w:val="NWAC"/>
              <w:jc w:val="center"/>
              <w:outlineLvl w:val="2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РЕКА МАНЫЧ</w:t>
            </w: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33.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Ново-Манычская дамба (179 км) - устье (3084,5 км р. Дон)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179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 &lt;*&gt;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89,0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12,6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41"/>
                <w:sz w:val="22"/>
              </w:rPr>
              <w:pict>
                <v:shape id="_x0000_i1060" type="#_x0000_t75" style="width:153pt;height:53.25pt;visibility:visible">
                  <v:imagedata r:id="rId11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20" w:name="P843"/>
            <w:bookmarkEnd w:id="20"/>
            <w:r w:rsidRPr="00D330F8">
              <w:rPr>
                <w:rFonts w:cs="Arial"/>
                <w:sz w:val="22"/>
              </w:rPr>
              <w:t>Схема буксировки баржи (&lt;*&gt;) - схема действует при глубинах 125 см и выше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75,16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12,6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34.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Ново-Манычская дамба (179 км) - устье (3084,5 км р. Дон)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179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 &lt;*&gt;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99,0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12,6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7"/>
                <w:sz w:val="22"/>
              </w:rPr>
              <w:pict>
                <v:shape id="_x0000_i1061" type="#_x0000_t75" style="width:154.5pt;height:38.25pt;visibility:visible">
                  <v:imagedata r:id="rId19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bookmarkStart w:id="21" w:name="P860"/>
            <w:bookmarkEnd w:id="21"/>
            <w:r w:rsidRPr="00D330F8">
              <w:rPr>
                <w:rFonts w:cs="Arial"/>
                <w:sz w:val="22"/>
              </w:rPr>
              <w:t>Схема буксировки баржи (&lt;*&gt;) - только в порожнем состоянии, при движении снизу перед расхождением прекращать движение или двигаться с минимальной скоростью, независимо от участка. Прохождение Конзаводских колен малым ходом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 &lt;*&gt;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86,9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600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85,16</w:t>
            </w:r>
          </w:p>
        </w:tc>
        <w:tc>
          <w:tcPr>
            <w:tcW w:w="0" w:type="auto"/>
            <w:tcBorders>
              <w:top w:val="nil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12,6</w:t>
            </w:r>
          </w:p>
        </w:tc>
        <w:tc>
          <w:tcPr>
            <w:tcW w:w="0" w:type="auto"/>
            <w:gridSpan w:val="2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rPr>
          <w:gridBefore w:val="1"/>
          <w:jc w:val="center"/>
        </w:trPr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35.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Ново-Манычская дамба (179 км) - устье (3084,5 км р. Дон)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</w:pPr>
            <w:r w:rsidRPr="00D330F8">
              <w:t>179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330</w: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83,7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C466CB">
              <w:rPr>
                <w:rFonts w:cs="Arial"/>
                <w:noProof/>
                <w:position w:val="-26"/>
                <w:sz w:val="22"/>
              </w:rPr>
              <w:pict>
                <v:shape id="_x0000_i1062" type="#_x0000_t75" style="width:152.25pt;height:37.5pt;visibility:visible">
                  <v:imagedata r:id="rId14" o:title=""/>
                </v:shape>
              </w:pict>
            </w:r>
          </w:p>
        </w:tc>
        <w:tc>
          <w:tcPr>
            <w:tcW w:w="0" w:type="auto"/>
            <w:vMerge w:val="restart"/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Схема буксировки плавучего крана грузоподъемностью 5 тонн</w:t>
            </w: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69,12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  <w:tr w:rsidR="003E69CD" w:rsidRPr="00D330F8" w:rsidTr="00E563C1">
        <w:tblPrEx>
          <w:tblBorders>
            <w:insideH w:val="none" w:sz="0" w:space="0" w:color="auto"/>
          </w:tblBorders>
        </w:tblPrEx>
        <w:trPr>
          <w:gridBefore w:val="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76,9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jc w:val="center"/>
              <w:rPr>
                <w:rFonts w:cs="Arial"/>
                <w:sz w:val="22"/>
              </w:rPr>
            </w:pPr>
            <w:r w:rsidRPr="00D330F8">
              <w:rPr>
                <w:rFonts w:cs="Arial"/>
                <w:sz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9CD" w:rsidRPr="00D330F8" w:rsidRDefault="003E69CD">
            <w:pPr>
              <w:pStyle w:val="NWAC"/>
              <w:rPr>
                <w:rFonts w:cs="Arial"/>
                <w:sz w:val="22"/>
              </w:rPr>
            </w:pPr>
          </w:p>
        </w:tc>
      </w:tr>
    </w:tbl>
    <w:p w:rsidR="003E69CD" w:rsidRPr="00D330F8" w:rsidRDefault="003E69CD" w:rsidP="004C63FD">
      <w:pPr>
        <w:pStyle w:val="NWAC"/>
        <w:pBdr>
          <w:bottom w:val="single" w:sz="6" w:space="0" w:color="auto"/>
        </w:pBdr>
        <w:spacing w:before="100" w:after="100"/>
        <w:jc w:val="both"/>
      </w:pPr>
    </w:p>
    <w:sectPr w:rsidR="003E69CD" w:rsidRPr="00D330F8" w:rsidSect="004C63FD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 w:code="9"/>
      <w:pgMar w:top="1134" w:right="1440" w:bottom="567" w:left="144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CD" w:rsidRDefault="003E69CD" w:rsidP="000F3E22">
      <w:r>
        <w:separator/>
      </w:r>
    </w:p>
  </w:endnote>
  <w:endnote w:type="continuationSeparator" w:id="0">
    <w:p w:rsidR="003E69CD" w:rsidRDefault="003E69CD" w:rsidP="000F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CD" w:rsidRDefault="003E69CD">
    <w:pPr>
      <w:pStyle w:val="NWAC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CD" w:rsidRDefault="003E69CD">
    <w:pPr>
      <w:pStyle w:val="NWAC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CD" w:rsidRDefault="003E69CD">
    <w:pPr>
      <w:pStyle w:val="NWAC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CD" w:rsidRDefault="003E69CD">
    <w:pPr>
      <w:pStyle w:val="NWAC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CD" w:rsidRDefault="003E69CD" w:rsidP="000F3E22">
      <w:r>
        <w:separator/>
      </w:r>
    </w:p>
  </w:footnote>
  <w:footnote w:type="continuationSeparator" w:id="0">
    <w:p w:rsidR="003E69CD" w:rsidRDefault="003E69CD" w:rsidP="000F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CD" w:rsidRPr="004C63FD" w:rsidRDefault="003E69CD" w:rsidP="004C63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CD" w:rsidRPr="00D330F8" w:rsidRDefault="003E69CD" w:rsidP="00D330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E22"/>
    <w:rsid w:val="000F3E22"/>
    <w:rsid w:val="003E69CD"/>
    <w:rsid w:val="004C63FD"/>
    <w:rsid w:val="00507AA6"/>
    <w:rsid w:val="00894BEE"/>
    <w:rsid w:val="00C010D9"/>
    <w:rsid w:val="00C466CB"/>
    <w:rsid w:val="00C54051"/>
    <w:rsid w:val="00CA133D"/>
    <w:rsid w:val="00CC700E"/>
    <w:rsid w:val="00D330F8"/>
    <w:rsid w:val="00E5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C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AC">
    <w:name w:val="NWAC_основной"/>
    <w:uiPriority w:val="99"/>
    <w:rsid w:val="00D330F8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D330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0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NWAC0">
    <w:name w:val="NWAC_заголовок"/>
    <w:basedOn w:val="NWAC"/>
    <w:uiPriority w:val="99"/>
    <w:rsid w:val="00D330F8"/>
    <w:pPr>
      <w:jc w:val="center"/>
    </w:pPr>
    <w:rPr>
      <w:b/>
      <w:bCs/>
      <w:color w:val="0033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footer" Target="footer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17</Pages>
  <Words>2843</Words>
  <Characters>16209</Characters>
  <Application>Microsoft Office Outlook</Application>
  <DocSecurity>0</DocSecurity>
  <Lines>0</Lines>
  <Paragraphs>0</Paragraphs>
  <ScaleCrop>false</ScaleCrop>
  <Company>Северо-Западная Агентская Компания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движения и стоянки судов Азово-Донской бассейн</dc:title>
  <dc:subject/>
  <dc:creator>Минтранс</dc:creator>
  <cp:keywords>Правила движения и стоянки Азово-Донской басейн</cp:keywords>
  <dc:description/>
  <cp:lastModifiedBy>Сивков Н.А.</cp:lastModifiedBy>
  <cp:revision>3</cp:revision>
  <dcterms:created xsi:type="dcterms:W3CDTF">2025-03-07T17:46:00Z</dcterms:created>
  <dcterms:modified xsi:type="dcterms:W3CDTF">2025-03-07T17:49:00Z</dcterms:modified>
</cp:coreProperties>
</file>